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D6" w:rsidRPr="00FF2650" w:rsidRDefault="00FF2650">
      <w:pPr>
        <w:pStyle w:val="a1"/>
        <w:spacing w:after="0"/>
        <w:rPr>
          <w:rFonts w:ascii="Open Sans;Tahoma;Verdana;Segoe;" w:hAnsi="Open Sans;Tahoma;Verdana;Segoe;" w:hint="eastAsia"/>
          <w:b/>
          <w:color w:val="222222"/>
          <w:sz w:val="28"/>
        </w:rPr>
      </w:pPr>
      <w:r w:rsidRPr="00FF2650">
        <w:rPr>
          <w:rFonts w:ascii="Open Sans;Tahoma;Verdana;Segoe;" w:hAnsi="Open Sans;Tahoma;Verdana;Segoe;"/>
          <w:b/>
          <w:color w:val="222222"/>
          <w:sz w:val="30"/>
        </w:rPr>
        <w:t xml:space="preserve">Организация питания </w:t>
      </w:r>
      <w:r w:rsidRPr="00FF2650">
        <w:rPr>
          <w:rFonts w:ascii="Open Sans;Tahoma;Verdana;Segoe;" w:hAnsi="Open Sans;Tahoma;Verdana;Segoe;"/>
          <w:b/>
          <w:color w:val="222222"/>
          <w:sz w:val="28"/>
        </w:rPr>
        <w:t>в ОБРАЗОВАТЕЛЬНОЙ ОРГАНИЗАЦИИ</w:t>
      </w:r>
    </w:p>
    <w:p w:rsidR="00D159D6" w:rsidRDefault="00D159D6" w:rsidP="00D159D6">
      <w:pPr>
        <w:pStyle w:val="a1"/>
        <w:rPr>
          <w:rFonts w:hint="eastAsia"/>
        </w:rPr>
      </w:pPr>
      <w:r>
        <w:rPr>
          <w:rStyle w:val="a7"/>
          <w:rFonts w:ascii="Arial;Helvetica;sans-serif" w:hAnsi="Arial;Helvetica;sans-serif"/>
          <w:color w:val="000000"/>
          <w:sz w:val="30"/>
        </w:rPr>
        <w:t xml:space="preserve">Условия питания и охраны здоровья </w:t>
      </w:r>
      <w:proofErr w:type="gramStart"/>
      <w:r>
        <w:rPr>
          <w:rStyle w:val="a7"/>
          <w:rFonts w:ascii="Arial;Helvetica;sans-serif" w:hAnsi="Arial;Helvetica;sans-serif"/>
          <w:color w:val="000000"/>
          <w:sz w:val="30"/>
        </w:rPr>
        <w:t>обучающихся</w:t>
      </w:r>
      <w:proofErr w:type="gramEnd"/>
    </w:p>
    <w:p w:rsidR="00D159D6" w:rsidRPr="002D3135" w:rsidRDefault="00D159D6" w:rsidP="00D159D6">
      <w:pPr>
        <w:pStyle w:val="ac"/>
        <w:spacing w:before="30" w:line="360" w:lineRule="auto"/>
        <w:ind w:left="0"/>
        <w:rPr>
          <w:rFonts w:ascii="Times New Roman" w:hAnsi="Times New Roman" w:cs="Times New Roman"/>
          <w:sz w:val="28"/>
        </w:rPr>
      </w:pPr>
      <w:r>
        <w:rPr>
          <w:color w:val="999999"/>
        </w:rPr>
        <w:t> </w:t>
      </w:r>
      <w:r>
        <w:rPr>
          <w:rStyle w:val="a7"/>
          <w:rFonts w:ascii="Arial;Helvetica;sans-serif" w:hAnsi="Arial;Helvetica;sans-serif"/>
          <w:color w:val="222222"/>
        </w:rPr>
        <w:t xml:space="preserve">1. </w:t>
      </w:r>
      <w:r w:rsidRPr="002D3135">
        <w:rPr>
          <w:rStyle w:val="a7"/>
          <w:rFonts w:ascii="Times New Roman" w:hAnsi="Times New Roman" w:cs="Times New Roman"/>
          <w:color w:val="222222"/>
          <w:sz w:val="28"/>
        </w:rPr>
        <w:t>Организация питания</w:t>
      </w:r>
    </w:p>
    <w:p w:rsidR="00D159D6" w:rsidRDefault="00D159D6" w:rsidP="00D159D6">
      <w:pPr>
        <w:pStyle w:val="a1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Организация питания обучающихся и формирование меню осуществляются в соответствии с требованиями, установленными федеральн</w:t>
      </w:r>
      <w:r w:rsidR="002D3135">
        <w:rPr>
          <w:rFonts w:ascii="Times New Roman" w:hAnsi="Times New Roman"/>
          <w:color w:val="222222"/>
        </w:rPr>
        <w:t>ыми санитарными правилами СанПиН</w:t>
      </w:r>
      <w:r>
        <w:rPr>
          <w:rFonts w:ascii="Times New Roman" w:hAnsi="Times New Roman"/>
          <w:color w:val="222222"/>
        </w:rPr>
        <w:t xml:space="preserve"> 2.3/2.4.3590-20  Санитарно-эпидемиологические требования к организации питания обучающихся в общеобразовательных учреждениях</w:t>
      </w:r>
    </w:p>
    <w:p w:rsidR="00D159D6" w:rsidRDefault="00D159D6" w:rsidP="00D159D6">
      <w:pPr>
        <w:pStyle w:val="a1"/>
        <w:spacing w:before="15" w:after="150" w:line="312" w:lineRule="auto"/>
        <w:rPr>
          <w:rFonts w:hint="eastAsia"/>
        </w:rPr>
      </w:pPr>
      <w:proofErr w:type="gramStart"/>
      <w:r>
        <w:rPr>
          <w:rFonts w:ascii="Times New Roman" w:hAnsi="Times New Roman"/>
          <w:color w:val="222222"/>
        </w:rPr>
        <w:t xml:space="preserve">Питание обучающихся осуществляется на основании </w:t>
      </w:r>
      <w:hyperlink r:id="rId7">
        <w:r>
          <w:rPr>
            <w:rStyle w:val="-"/>
            <w:rFonts w:ascii="Times New Roman" w:hAnsi="Times New Roman"/>
            <w:color w:val="000000"/>
            <w:u w:val="none"/>
          </w:rPr>
          <w:t>Цикличного двухнедельного  меню рационов горячего питания (завтрак, обед) для предоставления питания учащимся в возрасте 1-4 классов и  5-11 классов общеобразовательных учреждений Красногвардейского района за счёт средств бюджета Санкт-Петербурга, </w:t>
        </w:r>
      </w:hyperlink>
      <w:r>
        <w:rPr>
          <w:rFonts w:ascii="Times New Roman" w:hAnsi="Times New Roman"/>
          <w:color w:val="222222"/>
        </w:rPr>
        <w:t>согласованного с директором ГБОУ школы №129  и утвержденного Генеральным директором АО Комбинат социального питания «</w:t>
      </w:r>
      <w:proofErr w:type="spellStart"/>
      <w:r>
        <w:rPr>
          <w:rFonts w:ascii="Times New Roman" w:hAnsi="Times New Roman"/>
          <w:color w:val="222222"/>
        </w:rPr>
        <w:t>Охта</w:t>
      </w:r>
      <w:proofErr w:type="spellEnd"/>
      <w:r>
        <w:rPr>
          <w:rFonts w:ascii="Times New Roman" w:hAnsi="Times New Roman"/>
          <w:color w:val="222222"/>
        </w:rPr>
        <w:t>» Сташковой С.С.</w:t>
      </w:r>
      <w:proofErr w:type="gramEnd"/>
    </w:p>
    <w:p w:rsidR="00D159D6" w:rsidRDefault="00D159D6" w:rsidP="00D159D6">
      <w:pPr>
        <w:pStyle w:val="a1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В соответствии с цикличным меню  составляется ежедневное меню, которое   согласованно с   директором ГБОУ школы №129  и </w:t>
      </w:r>
      <w:proofErr w:type="spellStart"/>
      <w:r>
        <w:rPr>
          <w:rFonts w:ascii="Times New Roman" w:hAnsi="Times New Roman"/>
          <w:color w:val="222222"/>
        </w:rPr>
        <w:t>утвержденно</w:t>
      </w:r>
      <w:proofErr w:type="spellEnd"/>
      <w:r>
        <w:rPr>
          <w:rFonts w:ascii="Times New Roman" w:hAnsi="Times New Roman"/>
          <w:color w:val="222222"/>
        </w:rPr>
        <w:t xml:space="preserve"> Генеральным директором АО Комбинат социального питания «</w:t>
      </w:r>
      <w:proofErr w:type="spellStart"/>
      <w:r>
        <w:rPr>
          <w:rFonts w:ascii="Times New Roman" w:hAnsi="Times New Roman"/>
          <w:color w:val="222222"/>
        </w:rPr>
        <w:t>Охта</w:t>
      </w:r>
      <w:proofErr w:type="spellEnd"/>
      <w:r>
        <w:rPr>
          <w:rFonts w:ascii="Times New Roman" w:hAnsi="Times New Roman"/>
          <w:color w:val="222222"/>
        </w:rPr>
        <w:t xml:space="preserve">» Сташковой С.С. </w:t>
      </w:r>
    </w:p>
    <w:p w:rsidR="00D159D6" w:rsidRDefault="00D159D6" w:rsidP="00D159D6">
      <w:pPr>
        <w:pStyle w:val="a1"/>
        <w:spacing w:before="15" w:after="150" w:line="312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>В ежедневном меню указывается наименование приема пищи, наименования блюд</w:t>
      </w:r>
      <w:proofErr w:type="gramStart"/>
      <w:r>
        <w:rPr>
          <w:rFonts w:ascii="Times New Roman" w:hAnsi="Times New Roman"/>
          <w:color w:val="222222"/>
        </w:rPr>
        <w:t xml:space="preserve"> ,</w:t>
      </w:r>
      <w:proofErr w:type="gramEnd"/>
      <w:r>
        <w:rPr>
          <w:rFonts w:ascii="Times New Roman" w:hAnsi="Times New Roman"/>
          <w:color w:val="222222"/>
        </w:rPr>
        <w:t>массы и калорийность порций.</w:t>
      </w:r>
    </w:p>
    <w:p w:rsidR="00D159D6" w:rsidRDefault="00D159D6" w:rsidP="00D159D6">
      <w:pPr>
        <w:pStyle w:val="a1"/>
        <w:spacing w:before="15" w:after="150" w:line="312" w:lineRule="auto"/>
        <w:rPr>
          <w:rFonts w:ascii="Times New Roman" w:hAnsi="Times New Roman"/>
        </w:rPr>
      </w:pPr>
      <w:r>
        <w:rPr>
          <w:rFonts w:ascii="Times New Roman" w:hAnsi="Times New Roman"/>
          <w:color w:val="222222"/>
        </w:rPr>
        <w:t xml:space="preserve">Обеспечение санитарно-гигиенической безопасности питания, включая соблюдение санитарных требований к состоянию пищеблока, продуктам питания, их транспортировке, хранению, приготовлению и раздаче блюд  осуществляется в соответствии с </w:t>
      </w:r>
      <w:r w:rsidRPr="00AB772E">
        <w:rPr>
          <w:rFonts w:ascii="Times New Roman" w:hAnsi="Times New Roman"/>
          <w:color w:val="222222"/>
        </w:rPr>
        <w:t>Контракт</w:t>
      </w:r>
      <w:r w:rsidR="00D60A53">
        <w:rPr>
          <w:rFonts w:ascii="Times New Roman" w:hAnsi="Times New Roman"/>
          <w:color w:val="222222"/>
        </w:rPr>
        <w:t>ом</w:t>
      </w:r>
      <w:proofErr w:type="gramStart"/>
      <w:r w:rsidR="00D60A53">
        <w:rPr>
          <w:rFonts w:ascii="Times New Roman" w:hAnsi="Times New Roman"/>
          <w:color w:val="222222"/>
        </w:rPr>
        <w:t xml:space="preserve"> .</w:t>
      </w:r>
      <w:proofErr w:type="gramEnd"/>
      <w:r w:rsidRPr="00D159D6">
        <w:rPr>
          <w:rFonts w:ascii="Times New Roman" w:hAnsi="Times New Roman"/>
          <w:color w:val="222222"/>
          <w:highlight w:val="yellow"/>
        </w:rPr>
        <w:t xml:space="preserve"> </w:t>
      </w:r>
      <w:r>
        <w:rPr>
          <w:rFonts w:ascii="Times New Roman" w:hAnsi="Times New Roman"/>
          <w:color w:val="333333"/>
        </w:rPr>
        <w:t>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запекание,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блюд.</w:t>
      </w:r>
      <w:r>
        <w:rPr>
          <w:rFonts w:ascii="Times New Roman" w:hAnsi="Times New Roman"/>
        </w:rPr>
        <w:t xml:space="preserve">  На каждое блюдо заведена технологическая карта. Для детей разного возраста соблюдаются объемы порций приготавливаемых блюд. Энергетическая ценность суточного </w:t>
      </w:r>
      <w:r w:rsidRPr="00D159D6">
        <w:rPr>
          <w:rFonts w:ascii="Times New Roman" w:hAnsi="Times New Roman"/>
        </w:rPr>
        <w:t>пищевого рациона соответствует</w:t>
      </w:r>
      <w:r w:rsidR="00FA5984">
        <w:rPr>
          <w:rFonts w:ascii="Times New Roman" w:hAnsi="Times New Roman"/>
        </w:rPr>
        <w:t xml:space="preserve"> </w:t>
      </w:r>
      <w:proofErr w:type="spellStart"/>
      <w:r w:rsidR="00FA5984">
        <w:rPr>
          <w:rFonts w:ascii="Times New Roman" w:hAnsi="Times New Roman"/>
        </w:rPr>
        <w:t>энергозатратам</w:t>
      </w:r>
      <w:proofErr w:type="spellEnd"/>
      <w:r w:rsidR="00FA5984">
        <w:rPr>
          <w:rFonts w:ascii="Times New Roman" w:hAnsi="Times New Roman"/>
        </w:rPr>
        <w:t xml:space="preserve"> организма</w:t>
      </w:r>
      <w:r>
        <w:rPr>
          <w:rStyle w:val="-"/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:rsidR="00FA5984" w:rsidRDefault="00D159D6" w:rsidP="00D159D6">
      <w:pPr>
        <w:pStyle w:val="a1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333333"/>
        </w:rPr>
        <w:t>Питание учащихся в школьной столовой осуществляется строго по графику, утверждённому директором школы.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</w:rPr>
        <w:t> </w:t>
      </w: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AB772E" w:rsidRDefault="00AB772E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</w:p>
    <w:p w:rsidR="00FA5984" w:rsidRPr="00FA5984" w:rsidRDefault="00FA5984" w:rsidP="00FA5984">
      <w:pPr>
        <w:pStyle w:val="a1"/>
        <w:spacing w:after="0"/>
        <w:rPr>
          <w:rFonts w:ascii="Times New Roman" w:hAnsi="Times New Roman" w:cs="Times New Roman"/>
          <w:b/>
          <w:color w:val="222222"/>
          <w:sz w:val="28"/>
        </w:rPr>
      </w:pPr>
      <w:r w:rsidRPr="00FA5984">
        <w:rPr>
          <w:rFonts w:ascii="Times New Roman" w:hAnsi="Times New Roman" w:cs="Times New Roman"/>
          <w:b/>
          <w:color w:val="222222"/>
          <w:sz w:val="28"/>
        </w:rPr>
        <w:t>Информация о порядке предоставления льготного питания учащимся</w:t>
      </w:r>
    </w:p>
    <w:p w:rsidR="00FA5984" w:rsidRDefault="00FA5984" w:rsidP="00FA5984">
      <w:pPr>
        <w:pStyle w:val="a1"/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 xml:space="preserve">В соответствии с главой 18 Закона Санкт-Петербурга «Социальный кодекс Санкт-Петербурга» имеют право на льготное питание </w:t>
      </w:r>
      <w:proofErr w:type="gramStart"/>
      <w:r>
        <w:rPr>
          <w:rFonts w:ascii="Open Sans;Tahoma;Verdana;Segoe;" w:hAnsi="Open Sans;Tahoma;Verdana;Segoe;"/>
          <w:color w:val="222222"/>
        </w:rPr>
        <w:t>обучающиеся</w:t>
      </w:r>
      <w:proofErr w:type="gramEnd"/>
      <w:r>
        <w:rPr>
          <w:rFonts w:ascii="Open Sans;Tahoma;Verdana;Segoe;" w:hAnsi="Open Sans;Tahoma;Verdana;Segoe;"/>
          <w:color w:val="222222"/>
        </w:rPr>
        <w:t>, относящиеся к следующим категориям граждан: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 из малообеспеченных семей (малообеспеченная семья — семья, имеющая среднедушевой доход ниже полуторакратного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обращения);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 из многодетных семей;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дети-сироты и дети, оставшиеся без попечения родителей;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дети-инвалиды;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дети, находящиеся в трудной жизненной ситуации;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дети, состоящие на учете в противотуберкулезном диспансере;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дети, страдающие хроническими заболеваниями, перечень которых установлен Правительством Санкт-Петербурга;</w:t>
      </w:r>
    </w:p>
    <w:p w:rsidR="00FA5984" w:rsidRDefault="00FA5984" w:rsidP="00FA5984">
      <w:pPr>
        <w:pStyle w:val="a1"/>
        <w:numPr>
          <w:ilvl w:val="0"/>
          <w:numId w:val="1"/>
        </w:numPr>
        <w:tabs>
          <w:tab w:val="left" w:pos="750"/>
        </w:tabs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дети, обучающиеся в 1-4 классах (только завтраки).</w:t>
      </w:r>
    </w:p>
    <w:p w:rsidR="00FA5984" w:rsidRDefault="00FA5984" w:rsidP="00FA5984">
      <w:pPr>
        <w:pStyle w:val="a1"/>
        <w:spacing w:after="0"/>
        <w:rPr>
          <w:rFonts w:ascii="Open Sans;Tahoma;Verdana;Segoe;" w:hAnsi="Open Sans;Tahoma;Verdana;Segoe;" w:hint="eastAsia"/>
          <w:color w:val="222222"/>
        </w:rPr>
      </w:pPr>
      <w:r>
        <w:rPr>
          <w:rFonts w:ascii="Open Sans;Tahoma;Verdana;Segoe;" w:hAnsi="Open Sans;Tahoma;Verdana;Segoe;"/>
          <w:color w:val="222222"/>
        </w:rPr>
        <w:t>Предоставление льготного питания осуществляется только по заявлению родителей (законных представителей). Все льготы должны быть подтверждены соответствующими документами. Льготное питание предоставляется, начиная с месяца, следующего за месяцем подачи заявления, если заявление подано до 20 числа текущего месяца.</w:t>
      </w:r>
    </w:p>
    <w:p w:rsidR="00FA5984" w:rsidRDefault="00FA5984" w:rsidP="00FA5984">
      <w:pPr>
        <w:pStyle w:val="a1"/>
        <w:spacing w:after="0"/>
        <w:rPr>
          <w:rFonts w:hint="eastAsia"/>
        </w:rPr>
      </w:pPr>
      <w:proofErr w:type="gramStart"/>
      <w:r>
        <w:rPr>
          <w:rFonts w:ascii="Open Sans;Tahoma;Verdana;Segoe;" w:hAnsi="Open Sans;Tahoma;Verdana;Segoe;"/>
          <w:color w:val="222222"/>
        </w:rPr>
        <w:t xml:space="preserve">C 01.09.2020 все обучающиеся 1-4 классов обеспечиваются горячим питанием с компенсацией за счет средств бюджета Санкт-Петербурга 100% его стоимости (только завтраки) </w:t>
      </w:r>
      <w:r>
        <w:rPr>
          <w:rFonts w:ascii="Open Sans;Tahoma;Verdana;Segoe;" w:hAnsi="Open Sans;Tahoma;Verdana;Segoe;"/>
          <w:color w:val="222222"/>
        </w:rPr>
        <w:br/>
        <w:t>Питание с компенсацией за счет средств бюджета Санкт-Петербурга 100% его стоимости предоставляется обучающимся льготных категорий: завтрак и обед  (1-4 класс), комплексный обед (5-11 класс)  </w:t>
      </w:r>
      <w:r>
        <w:rPr>
          <w:rFonts w:ascii="Open Sans;Tahoma;Verdana;Segoe;" w:hAnsi="Open Sans;Tahoma;Verdana;Segoe;"/>
          <w:color w:val="222222"/>
        </w:rPr>
        <w:br/>
      </w:r>
      <w:hyperlink r:id="rId8" w:tgtFrame="_blank">
        <w:r>
          <w:rPr>
            <w:rStyle w:val="-"/>
            <w:rFonts w:ascii="Open Sans;Tahoma;Verdana;Segoe;" w:hAnsi="Open Sans;Tahoma;Verdana;Segoe;"/>
            <w:color w:val="222222"/>
          </w:rPr>
          <w:t>Изменения в главу 18 «Социального кодекса Санкт-Петербурга» от 03.06.2020 года</w:t>
        </w:r>
      </w:hyperlink>
      <w:proofErr w:type="gramEnd"/>
    </w:p>
    <w:p w:rsidR="00FA5984" w:rsidRDefault="00FA5984" w:rsidP="00FA5984">
      <w:pPr>
        <w:pStyle w:val="a1"/>
        <w:spacing w:after="0"/>
        <w:rPr>
          <w:rFonts w:hint="eastAsia"/>
        </w:rPr>
      </w:pPr>
      <w:r>
        <w:rPr>
          <w:rFonts w:ascii="Open Sans;Tahoma;Verdana;Segoe;" w:hAnsi="Open Sans;Tahoma;Verdana;Segoe;"/>
          <w:color w:val="222222"/>
        </w:rPr>
        <w:t>С 01.01.2021 обучающиеся льготных категорий обеспечиваются горячим питанием независимо от их места жительства, места пребывания и гражданства.</w:t>
      </w:r>
      <w:r>
        <w:rPr>
          <w:rFonts w:ascii="Open Sans;Tahoma;Verdana;Segoe;" w:hAnsi="Open Sans;Tahoma;Verdana;Segoe;"/>
          <w:color w:val="222222"/>
        </w:rPr>
        <w:br/>
      </w:r>
      <w:hyperlink r:id="rId9" w:tgtFrame="_blank">
        <w:r>
          <w:rPr>
            <w:rStyle w:val="-"/>
            <w:rFonts w:ascii="Open Sans;Tahoma;Verdana;Segoe;" w:hAnsi="Open Sans;Tahoma;Verdana;Segoe;"/>
            <w:color w:val="222222"/>
          </w:rPr>
          <w:t>Изменения в главу 18 «Социального кодекса Санкт-Петербурга» от 16.12.2020 года</w:t>
        </w:r>
      </w:hyperlink>
    </w:p>
    <w:p w:rsidR="00FA5984" w:rsidRDefault="00FA5984" w:rsidP="00FA5984">
      <w:pPr>
        <w:rPr>
          <w:rFonts w:hint="eastAsia"/>
        </w:rPr>
      </w:pPr>
    </w:p>
    <w:p w:rsidR="00D159D6" w:rsidRPr="00FA5984" w:rsidRDefault="00D159D6" w:rsidP="00D159D6">
      <w:pPr>
        <w:pStyle w:val="a1"/>
        <w:spacing w:before="15" w:after="150" w:line="312" w:lineRule="auto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</w:t>
      </w:r>
      <w:r w:rsidR="009D2879" w:rsidRPr="002D3135">
        <w:rPr>
          <w:rFonts w:ascii="Times New Roman" w:hAnsi="Times New Roman"/>
          <w:b/>
          <w:color w:val="222222"/>
        </w:rPr>
        <w:t>Материально- те</w:t>
      </w:r>
      <w:r w:rsidR="00D02868" w:rsidRPr="002D3135">
        <w:rPr>
          <w:rFonts w:ascii="Times New Roman" w:hAnsi="Times New Roman"/>
          <w:b/>
          <w:color w:val="222222"/>
        </w:rPr>
        <w:t xml:space="preserve">хническая база </w:t>
      </w:r>
      <w:proofErr w:type="gramStart"/>
      <w:r w:rsidR="00D02868" w:rsidRPr="002D3135">
        <w:rPr>
          <w:rFonts w:ascii="Times New Roman" w:hAnsi="Times New Roman"/>
          <w:b/>
          <w:color w:val="222222"/>
        </w:rPr>
        <w:t xml:space="preserve">и </w:t>
      </w:r>
      <w:proofErr w:type="spellStart"/>
      <w:r w:rsidR="00D02868" w:rsidRPr="002D3135">
        <w:rPr>
          <w:rFonts w:ascii="Times New Roman" w:hAnsi="Times New Roman"/>
          <w:b/>
          <w:color w:val="222222"/>
        </w:rPr>
        <w:t>нфраструктура</w:t>
      </w:r>
      <w:proofErr w:type="spellEnd"/>
      <w:proofErr w:type="gramEnd"/>
      <w:r w:rsidR="00FA5984">
        <w:rPr>
          <w:rFonts w:ascii="Times New Roman" w:hAnsi="Times New Roman"/>
          <w:b/>
          <w:color w:val="222222"/>
        </w:rPr>
        <w:t xml:space="preserve"> школьной столовой</w:t>
      </w:r>
    </w:p>
    <w:p w:rsidR="00D60A53" w:rsidRDefault="002D3135" w:rsidP="00D60A53">
      <w:pPr>
        <w:pStyle w:val="a1"/>
        <w:spacing w:before="15" w:after="150" w:line="312" w:lineRule="auto"/>
      </w:pPr>
      <w:r>
        <w:rPr>
          <w:rFonts w:ascii="Times New Roman" w:hAnsi="Times New Roman"/>
          <w:color w:val="222222"/>
        </w:rPr>
        <w:t>Школьная столовая имеет 2 обеденных</w:t>
      </w:r>
      <w:r w:rsidRPr="0003025E">
        <w:rPr>
          <w:rFonts w:ascii="Times New Roman" w:hAnsi="Times New Roman"/>
          <w:color w:val="222222"/>
        </w:rPr>
        <w:t xml:space="preserve"> зал</w:t>
      </w:r>
      <w:r>
        <w:rPr>
          <w:rFonts w:ascii="Times New Roman" w:hAnsi="Times New Roman"/>
          <w:color w:val="222222"/>
        </w:rPr>
        <w:t xml:space="preserve">а, </w:t>
      </w:r>
      <w:r w:rsidRPr="0003025E">
        <w:rPr>
          <w:rFonts w:ascii="Times New Roman" w:hAnsi="Times New Roman"/>
          <w:color w:val="222222"/>
        </w:rPr>
        <w:t xml:space="preserve"> рассчитан</w:t>
      </w:r>
      <w:r>
        <w:rPr>
          <w:rFonts w:ascii="Times New Roman" w:hAnsi="Times New Roman"/>
          <w:color w:val="222222"/>
        </w:rPr>
        <w:t>ных</w:t>
      </w:r>
      <w:r w:rsidRPr="0003025E">
        <w:rPr>
          <w:rFonts w:ascii="Times New Roman" w:hAnsi="Times New Roman"/>
          <w:color w:val="222222"/>
        </w:rPr>
        <w:t xml:space="preserve"> на 120 посадочных мест.</w:t>
      </w:r>
      <w:r>
        <w:rPr>
          <w:rFonts w:ascii="Times New Roman" w:hAnsi="Times New Roman"/>
          <w:color w:val="222222"/>
        </w:rPr>
        <w:t xml:space="preserve"> </w:t>
      </w:r>
      <w:r>
        <w:t>Вся мебель соответствует санитарно-эпидемиологическим требованиям</w:t>
      </w:r>
      <w:proofErr w:type="gramStart"/>
      <w:r>
        <w:rPr>
          <w:rFonts w:ascii="Times New Roman" w:hAnsi="Times New Roman"/>
          <w:color w:val="222222"/>
        </w:rPr>
        <w:t xml:space="preserve"> И</w:t>
      </w:r>
      <w:proofErr w:type="gramEnd"/>
      <w:r>
        <w:rPr>
          <w:rFonts w:ascii="Times New Roman" w:hAnsi="Times New Roman"/>
          <w:color w:val="222222"/>
        </w:rPr>
        <w:t>меется оборудованная линия  раздачи горячих блюд и буфет.</w:t>
      </w:r>
      <w:r>
        <w:t xml:space="preserve"> </w:t>
      </w:r>
      <w:r w:rsidR="00D02868">
        <w:t xml:space="preserve">Укомплектованность в соответствии с нормативами: технологическим оборудованием, инвентарем, посудой, моющими средствами.  </w:t>
      </w:r>
      <w:r w:rsidR="009D2879">
        <w:t xml:space="preserve">Пищеблок типовой, соответствует всем санитарным требованиям, имеет комплекс специальных помещений: обеденный зал, моечная, </w:t>
      </w:r>
      <w:r w:rsidR="00D02868">
        <w:t>горячий и холодный цех,</w:t>
      </w:r>
      <w:r>
        <w:t xml:space="preserve"> </w:t>
      </w:r>
      <w:r w:rsidR="009D2879">
        <w:t>кладовая сух</w:t>
      </w:r>
      <w:r w:rsidR="00D02868">
        <w:t>их продуктов</w:t>
      </w:r>
      <w:r w:rsidR="009D2879">
        <w:t xml:space="preserve">, служебное помещение. </w:t>
      </w:r>
      <w:r>
        <w:t>Пищеблок о</w:t>
      </w:r>
      <w:r w:rsidR="00D02868">
        <w:t>снащен</w:t>
      </w:r>
      <w:r w:rsidR="009D2879">
        <w:t xml:space="preserve"> высокопроизводительным  механическим  оборудованием, выполняющим  первичную обработку продуктов и соответствующие операции по приготовлению пищи.  </w:t>
      </w:r>
      <w:proofErr w:type="gramStart"/>
      <w:r w:rsidR="00D02868">
        <w:t xml:space="preserve">Оборудование: - тепловое оборудование (плиты); - холодильное оборудование (холодильники); - технологическое оборудование ( мясорубки, </w:t>
      </w:r>
      <w:r w:rsidR="00D02868">
        <w:lastRenderedPageBreak/>
        <w:t>овощерезки, ); - нейтральное оборудование (столы, стеллажи, ванны моечные, разделочные и производственные столы, промаркированные разделочные доски и ножи, половники, шумовки, ложки, терки).</w:t>
      </w:r>
      <w:proofErr w:type="gramEnd"/>
      <w:r>
        <w:t xml:space="preserve"> </w:t>
      </w:r>
      <w:r w:rsidR="00D02868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</w:t>
      </w:r>
      <w:proofErr w:type="spellStart"/>
      <w:r w:rsidR="00D02868">
        <w:t>режима</w:t>
      </w:r>
      <w:proofErr w:type="gramStart"/>
      <w:r w:rsidR="00D02868">
        <w:t>.С</w:t>
      </w:r>
      <w:proofErr w:type="gramEnd"/>
      <w:r w:rsidR="00D02868">
        <w:t>оответствие</w:t>
      </w:r>
      <w:proofErr w:type="spellEnd"/>
      <w:r w:rsidR="00D02868">
        <w:t xml:space="preserve"> требований по соблюдению личной гигиены школьников. Перед входом в помещение столовой для мытья рук учащимися организовано специальное место, оборудованное раковинами, дозаторами для мыла и сушками для рук.</w:t>
      </w:r>
    </w:p>
    <w:p w:rsidR="00FA5984" w:rsidRDefault="00FA598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FA5984" w:rsidRDefault="00FA5984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570" w:rsidRPr="00AB772E" w:rsidRDefault="00931DD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B772E">
        <w:rPr>
          <w:rFonts w:ascii="Times New Roman" w:eastAsia="Times New Roman" w:hAnsi="Times New Roman" w:cs="Times New Roman"/>
          <w:b/>
          <w:lang w:eastAsia="ru-RU"/>
        </w:rPr>
        <w:t>Информационно-просветительская работа, мероприятия по здоровому питанию</w:t>
      </w:r>
    </w:p>
    <w:p w:rsidR="00653570" w:rsidRDefault="00653570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2C2D2E"/>
          <w:sz w:val="22"/>
          <w:szCs w:val="22"/>
        </w:rPr>
        <w:t>Радиолинейка "День Здоровья"</w:t>
      </w: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2C2D2E"/>
          <w:sz w:val="22"/>
          <w:szCs w:val="22"/>
        </w:rPr>
        <w:t xml:space="preserve"> 7 апреля 2024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2C2D2E"/>
          <w:sz w:val="22"/>
          <w:szCs w:val="22"/>
        </w:rPr>
        <w:t xml:space="preserve">Интерактивная викторина 3-4 классы "Правильно питайся" </w:t>
      </w: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2C2D2E"/>
          <w:sz w:val="22"/>
          <w:szCs w:val="22"/>
        </w:rPr>
        <w:t>7 апреля 2024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color w:val="2C2D2E"/>
          <w:sz w:val="22"/>
          <w:szCs w:val="22"/>
        </w:rPr>
        <w:t xml:space="preserve">Конкурс рисунков "Яблоки и фрукты - вкусные продукты" </w:t>
      </w: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2C2D2E"/>
          <w:sz w:val="22"/>
          <w:szCs w:val="22"/>
        </w:rPr>
        <w:t>15 апреля 2024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53570" w:rsidRDefault="00931DDF">
      <w:pPr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Интерактивная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перемен а        </w:t>
      </w: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 xml:space="preserve">Классный час «Быть здоровым </w:t>
      </w:r>
      <w:proofErr w:type="gramStart"/>
      <w:r>
        <w:rPr>
          <w:rFonts w:ascii="Times New Roman" w:hAnsi="Times New Roman" w:cs="Times New Roman"/>
          <w:sz w:val="22"/>
          <w:szCs w:val="22"/>
        </w:rPr>
        <w:t>-м</w:t>
      </w:r>
      <w:proofErr w:type="gramEnd"/>
      <w:r>
        <w:rPr>
          <w:rFonts w:ascii="Times New Roman" w:hAnsi="Times New Roman" w:cs="Times New Roman"/>
          <w:sz w:val="22"/>
          <w:szCs w:val="22"/>
        </w:rPr>
        <w:t>одно»09.10.2023</w:t>
      </w:r>
    </w:p>
    <w:p w:rsidR="00653570" w:rsidRDefault="00931DDF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Интерактивная перемена «Правильно питайся»</w:t>
      </w:r>
    </w:p>
    <w:p w:rsidR="00653570" w:rsidRDefault="00931DD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20.10.2023</w:t>
      </w:r>
    </w:p>
    <w:p w:rsidR="00FA5984" w:rsidRDefault="00FA5984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A5984" w:rsidRDefault="00FA5984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A5984" w:rsidRDefault="00FA5984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FA5984" w:rsidRDefault="00FA5984">
      <w:pPr>
        <w:jc w:val="center"/>
        <w:rPr>
          <w:rFonts w:ascii="Times New Roman" w:hAnsi="Times New Roman"/>
        </w:rPr>
      </w:pPr>
    </w:p>
    <w:sectPr w:rsidR="00FA598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;Tahoma;Verdana;Segoe;">
    <w:altName w:val="Times New Roman"/>
    <w:panose1 w:val="00000000000000000000"/>
    <w:charset w:val="00"/>
    <w:family w:val="roman"/>
    <w:notTrueType/>
    <w:pitch w:val="default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D83"/>
    <w:multiLevelType w:val="multilevel"/>
    <w:tmpl w:val="E79E3914"/>
    <w:lvl w:ilvl="0">
      <w:start w:val="1"/>
      <w:numFmt w:val="decimal"/>
      <w:suff w:val="nothing"/>
      <w:lvlText w:val="%1."/>
      <w:lvlJc w:val="left"/>
      <w:pPr>
        <w:tabs>
          <w:tab w:val="num" w:pos="750"/>
        </w:tabs>
        <w:ind w:left="7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13EF6431"/>
    <w:multiLevelType w:val="multilevel"/>
    <w:tmpl w:val="04802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14A3D41"/>
    <w:multiLevelType w:val="multilevel"/>
    <w:tmpl w:val="6E52DC14"/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29671669"/>
    <w:multiLevelType w:val="multilevel"/>
    <w:tmpl w:val="0322859C"/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3AC72625"/>
    <w:multiLevelType w:val="multilevel"/>
    <w:tmpl w:val="E79E3914"/>
    <w:lvl w:ilvl="0">
      <w:start w:val="1"/>
      <w:numFmt w:val="decimal"/>
      <w:suff w:val="nothing"/>
      <w:lvlText w:val="%1."/>
      <w:lvlJc w:val="left"/>
      <w:pPr>
        <w:tabs>
          <w:tab w:val="num" w:pos="750"/>
        </w:tabs>
        <w:ind w:left="75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4C7323EE"/>
    <w:multiLevelType w:val="multilevel"/>
    <w:tmpl w:val="5336B3D8"/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>
    <w:nsid w:val="689C7B60"/>
    <w:multiLevelType w:val="multilevel"/>
    <w:tmpl w:val="B096DC88"/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715F2685"/>
    <w:multiLevelType w:val="multilevel"/>
    <w:tmpl w:val="0B0649C8"/>
    <w:lvl w:ilvl="0">
      <w:start w:val="1"/>
      <w:numFmt w:val="bullet"/>
      <w:suff w:val="nothing"/>
      <w:lvlText w:val=""/>
      <w:lvlJc w:val="left"/>
      <w:pPr>
        <w:tabs>
          <w:tab w:val="num" w:pos="750"/>
        </w:tabs>
        <w:ind w:left="7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70"/>
    <w:rsid w:val="00015951"/>
    <w:rsid w:val="0003025E"/>
    <w:rsid w:val="002D3135"/>
    <w:rsid w:val="005D1526"/>
    <w:rsid w:val="00653570"/>
    <w:rsid w:val="0080438E"/>
    <w:rsid w:val="00903912"/>
    <w:rsid w:val="00931DDF"/>
    <w:rsid w:val="009D2879"/>
    <w:rsid w:val="00AB772E"/>
    <w:rsid w:val="00D02868"/>
    <w:rsid w:val="00D159D6"/>
    <w:rsid w:val="00D60A53"/>
    <w:rsid w:val="00F433E7"/>
    <w:rsid w:val="00FA598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ListLabel3">
    <w:name w:val="ListLabel 3"/>
    <w:qFormat/>
    <w:rPr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списка"/>
    <w:basedOn w:val="a"/>
    <w:qFormat/>
    <w:pPr>
      <w:ind w:left="567"/>
    </w:pPr>
  </w:style>
  <w:style w:type="paragraph" w:customStyle="1" w:styleId="ad">
    <w:name w:val="Заголовок списка"/>
    <w:basedOn w:val="a"/>
    <w:next w:val="ac"/>
    <w:qFormat/>
  </w:style>
  <w:style w:type="character" w:styleId="ae">
    <w:name w:val="Hyperlink"/>
    <w:basedOn w:val="a2"/>
    <w:uiPriority w:val="99"/>
    <w:unhideWhenUsed/>
    <w:rsid w:val="00FA5984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FA59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0">
    <w:name w:val="Strong"/>
    <w:basedOn w:val="a2"/>
    <w:uiPriority w:val="22"/>
    <w:qFormat/>
    <w:rsid w:val="00903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ListLabel3">
    <w:name w:val="ListLabel 3"/>
    <w:qFormat/>
    <w:rPr>
      <w:sz w:val="24"/>
      <w:szCs w:val="24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списка"/>
    <w:basedOn w:val="a"/>
    <w:qFormat/>
    <w:pPr>
      <w:ind w:left="567"/>
    </w:pPr>
  </w:style>
  <w:style w:type="paragraph" w:customStyle="1" w:styleId="ad">
    <w:name w:val="Заголовок списка"/>
    <w:basedOn w:val="a"/>
    <w:next w:val="ac"/>
    <w:qFormat/>
  </w:style>
  <w:style w:type="character" w:styleId="ae">
    <w:name w:val="Hyperlink"/>
    <w:basedOn w:val="a2"/>
    <w:uiPriority w:val="99"/>
    <w:unhideWhenUsed/>
    <w:rsid w:val="00FA5984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FA598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f0">
    <w:name w:val="Strong"/>
    <w:basedOn w:val="a2"/>
    <w:uiPriority w:val="22"/>
    <w:qFormat/>
    <w:rsid w:val="00903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MIbL7yYA5Dz-m2Hlspo0sao0sJHbsT2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sh129.krgv.gov.spb.ru/svg/menju_5-11_klass_desjatidnevnoe_2024_compress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lwbI3rdQgJK4FvsMG_xM38rVhZB6OMUN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EA06-E540-417A-AF9A-6441267B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Шереметова</dc:creator>
  <cp:lastModifiedBy>Ирина Юрьевна Шереметова</cp:lastModifiedBy>
  <cp:revision>2</cp:revision>
  <dcterms:created xsi:type="dcterms:W3CDTF">2024-09-04T09:28:00Z</dcterms:created>
  <dcterms:modified xsi:type="dcterms:W3CDTF">2024-09-04T09:28:00Z</dcterms:modified>
  <dc:language>ru-RU</dc:language>
</cp:coreProperties>
</file>